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天津市工程技术系列轨道交通专业副高级职称评审委员会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天津哈威克科技有限公司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天津哈威克科技有限公司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姚冰倩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天津众合智控科技有限公司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胡修全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中航铁服人力资源（北京）有限公司天津分公司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刘东东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天津津轨汇海科技发展有限公司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丁嘉琦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任宇宸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中智天津人力资源服务有限公司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宋子舒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李嘉哲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克伦斯（天津）轨道交通技术有限公司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姚文珮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张长兵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中铁（天津）轨道交通投资建设有限公司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天津智能轨道交通研究院有限公司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魏炳鑫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天津智能轨道交通研究院有限公司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天津众合智控科技有限公司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天津哈威克科技有限公司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许子昂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天津哈威克科技有限公司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克伦斯（天津）轨道交通技术有限公司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孔德慧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天津市轨道交通事业发展服务中心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陆安平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天津市轨道交通事业发展服务中心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张翕然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金艳萍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天津交科检测科技有限公司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庞明筠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从美怡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陈妍妍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曲育德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石宇航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赵永峰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方禹程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王劲松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中铁（天津）轨道交通投资建设有限公司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中铁（天津）轨道交通投资建设有限公司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中交轨道交通运营有限公司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谢全懿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北京城建勘测设计研究院有限责任公司天津分公司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杨建良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中铁路安工程咨询有限公司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王晗旭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长春宏建工程设计有限公司天津分公司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于志群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天津天德服务外包有限公司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臧浩月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天津众合智控科技有限公司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神铁二号线（天津）轨道交通运营有限公司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交控技术装备有限公司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张晋恺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交控技术装备有限公司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天津智能轨道交通研究院有限公司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天津智能轨道交通研究院有限公司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郭子豪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温朋哲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魏煜佼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中煤第三建设（集团）天津有限公司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2024-12-17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